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574"/>
        <w:gridCol w:w="6350"/>
      </w:tblGrid>
      <w:tr w:rsidR="006F6326" w:rsidTr="00AE4A02">
        <w:tc>
          <w:tcPr>
            <w:tcW w:w="3574"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350" w:type="dxa"/>
          </w:tcPr>
          <w:p w:rsidR="00B87695" w:rsidRPr="00A96C08" w:rsidRDefault="009C5D15" w:rsidP="00C404E9">
            <w:pPr>
              <w:rPr>
                <w:rFonts w:ascii="Arial" w:hAnsi="Arial" w:cs="Arial"/>
              </w:rPr>
            </w:pPr>
            <w:r w:rsidRPr="009C5D15">
              <w:rPr>
                <w:rFonts w:ascii="Arial" w:hAnsi="Arial" w:cs="Arial"/>
              </w:rPr>
              <w:t>To enter into the new OxWED Limited Liability Partnership</w:t>
            </w:r>
          </w:p>
        </w:tc>
      </w:tr>
      <w:tr w:rsidR="006F6326" w:rsidTr="00AE4A02">
        <w:tc>
          <w:tcPr>
            <w:tcW w:w="3574"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350" w:type="dxa"/>
          </w:tcPr>
          <w:p w:rsidR="00263039" w:rsidRPr="00A96C08" w:rsidRDefault="00BD74D6" w:rsidP="00C404E9">
            <w:pPr>
              <w:rPr>
                <w:rFonts w:ascii="Arial" w:hAnsi="Arial" w:cs="Arial"/>
              </w:rPr>
            </w:pPr>
            <w:r>
              <w:rPr>
                <w:rFonts w:ascii="Arial" w:hAnsi="Arial" w:cs="Arial"/>
              </w:rPr>
              <w:t>10</w:t>
            </w:r>
            <w:r w:rsidR="00885196">
              <w:rPr>
                <w:rFonts w:ascii="Arial" w:hAnsi="Arial" w:cs="Arial"/>
              </w:rPr>
              <w:t xml:space="preserve"> December 2021</w:t>
            </w:r>
          </w:p>
        </w:tc>
      </w:tr>
      <w:tr w:rsidR="00854133" w:rsidTr="00AE4A02">
        <w:tc>
          <w:tcPr>
            <w:tcW w:w="3574" w:type="dxa"/>
          </w:tcPr>
          <w:p w:rsidR="00854133" w:rsidRPr="00854133" w:rsidRDefault="00854133" w:rsidP="00AE4A02">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350" w:type="dxa"/>
          </w:tcPr>
          <w:p w:rsidR="009C5D15" w:rsidRDefault="009C5D15" w:rsidP="00AE4A02">
            <w:pPr>
              <w:rPr>
                <w:rFonts w:ascii="Arial" w:hAnsi="Arial" w:cs="Arial"/>
              </w:rPr>
            </w:pPr>
            <w:r w:rsidRPr="00AE4A02">
              <w:rPr>
                <w:rFonts w:ascii="Arial" w:hAnsi="Arial" w:cs="Arial"/>
              </w:rPr>
              <w:t>Cabinet on 10 November 2021 resolved to: Delegate authority to the Head of Financial Services, in consultation with the Head of Law and Governance and the Cabinet Member for Finance and Asset Management, to agree the final documentation, including whether the tax charge payment is made by way of capital payment or loan, and enter into the transaction to create th</w:t>
            </w:r>
            <w:r w:rsidR="00AE4A02">
              <w:rPr>
                <w:rFonts w:ascii="Arial" w:hAnsi="Arial" w:cs="Arial"/>
              </w:rPr>
              <w:t>e Limited Liability Partnership.</w:t>
            </w:r>
          </w:p>
          <w:p w:rsidR="00AE4A02" w:rsidRDefault="00AE4A02" w:rsidP="00AE4A02">
            <w:pPr>
              <w:rPr>
                <w:rFonts w:ascii="Arial" w:hAnsi="Arial" w:cs="Arial"/>
              </w:rPr>
            </w:pPr>
          </w:p>
          <w:p w:rsidR="00AE4A02" w:rsidRPr="00AE4A02" w:rsidRDefault="00AE4A02" w:rsidP="00AE4A02">
            <w:pPr>
              <w:rPr>
                <w:rFonts w:ascii="Arial" w:hAnsi="Arial" w:cs="Arial"/>
              </w:rPr>
            </w:pPr>
            <w:r>
              <w:rPr>
                <w:rFonts w:ascii="Arial" w:hAnsi="Arial" w:cs="Arial"/>
              </w:rPr>
              <w:t>The Head of Financial Services has authorised the Financial Accounting Manager to take this decision.</w:t>
            </w:r>
          </w:p>
          <w:p w:rsidR="009C5D15" w:rsidRPr="00E20A54" w:rsidRDefault="009C5D15" w:rsidP="00F85614">
            <w:pPr>
              <w:rPr>
                <w:rFonts w:ascii="Arial" w:hAnsi="Arial" w:cs="Arial"/>
              </w:rPr>
            </w:pPr>
          </w:p>
        </w:tc>
      </w:tr>
      <w:tr w:rsidR="00B87695" w:rsidTr="00AE4A02">
        <w:tc>
          <w:tcPr>
            <w:tcW w:w="3574" w:type="dxa"/>
          </w:tcPr>
          <w:p w:rsidR="003B1236" w:rsidRPr="00B87695" w:rsidRDefault="00854133" w:rsidP="00AE4A02">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350" w:type="dxa"/>
          </w:tcPr>
          <w:p w:rsidR="00885196" w:rsidRDefault="00BD74D6" w:rsidP="00CB5E4F">
            <w:pPr>
              <w:rPr>
                <w:rFonts w:ascii="Arial" w:hAnsi="Arial" w:cs="Arial"/>
              </w:rPr>
            </w:pPr>
            <w:r>
              <w:rPr>
                <w:rFonts w:ascii="Arial" w:hAnsi="Arial" w:cs="Arial"/>
              </w:rPr>
              <w:t>To enter into the transaction as approved by Cabinet in November 2021 and approve any amendments to the terms as set out in Exempt A</w:t>
            </w:r>
            <w:r w:rsidR="00AE4A02">
              <w:rPr>
                <w:rFonts w:ascii="Arial" w:hAnsi="Arial" w:cs="Arial"/>
              </w:rPr>
              <w:t>ppendix 1 – not for publication.</w:t>
            </w:r>
          </w:p>
          <w:p w:rsidR="006247C4" w:rsidRPr="00A96C08" w:rsidRDefault="006247C4" w:rsidP="00CB5E4F">
            <w:pPr>
              <w:rPr>
                <w:rFonts w:ascii="Arial" w:hAnsi="Arial" w:cs="Arial"/>
              </w:rPr>
            </w:pPr>
          </w:p>
        </w:tc>
      </w:tr>
      <w:tr w:rsidR="00373F5D" w:rsidTr="00AE4A02">
        <w:tc>
          <w:tcPr>
            <w:tcW w:w="3574" w:type="dxa"/>
          </w:tcPr>
          <w:p w:rsidR="00373F5D" w:rsidRPr="00373F5D" w:rsidRDefault="00373F5D" w:rsidP="00AE4A02">
            <w:pPr>
              <w:spacing w:before="120" w:after="120"/>
              <w:rPr>
                <w:rFonts w:ascii="Arial" w:hAnsi="Arial" w:cs="Arial"/>
              </w:rPr>
            </w:pPr>
            <w:r>
              <w:rPr>
                <w:rFonts w:ascii="Arial" w:hAnsi="Arial" w:cs="Arial"/>
                <w:b/>
              </w:rPr>
              <w:t xml:space="preserve">Purpose: </w:t>
            </w:r>
          </w:p>
        </w:tc>
        <w:tc>
          <w:tcPr>
            <w:tcW w:w="6350" w:type="dxa"/>
          </w:tcPr>
          <w:p w:rsidR="00373F5D" w:rsidRPr="00A96C08" w:rsidRDefault="00BD74D6" w:rsidP="001B1155">
            <w:pPr>
              <w:rPr>
                <w:rFonts w:ascii="Arial" w:hAnsi="Arial" w:cs="Arial"/>
              </w:rPr>
            </w:pPr>
            <w:r>
              <w:rPr>
                <w:rFonts w:ascii="Arial" w:hAnsi="Arial" w:cs="Arial"/>
              </w:rPr>
              <w:t>Please refer to November Cabinet Report</w:t>
            </w:r>
          </w:p>
        </w:tc>
      </w:tr>
      <w:tr w:rsidR="00DC2E8D" w:rsidTr="00AE4A02">
        <w:tc>
          <w:tcPr>
            <w:tcW w:w="3574" w:type="dxa"/>
          </w:tcPr>
          <w:p w:rsidR="00DC2E8D" w:rsidRPr="008E4629" w:rsidRDefault="008E4629" w:rsidP="00AE4A02">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350" w:type="dxa"/>
          </w:tcPr>
          <w:p w:rsidR="00CB5E4F" w:rsidRPr="00A96C08" w:rsidRDefault="00BD74D6" w:rsidP="008A22C6">
            <w:pPr>
              <w:rPr>
                <w:rFonts w:ascii="Arial" w:hAnsi="Arial" w:cs="Arial"/>
              </w:rPr>
            </w:pPr>
            <w:r>
              <w:rPr>
                <w:rFonts w:ascii="Arial" w:hAnsi="Arial" w:cs="Arial"/>
              </w:rPr>
              <w:t>Please r</w:t>
            </w:r>
            <w:r w:rsidR="00AE4A02">
              <w:rPr>
                <w:rFonts w:ascii="Arial" w:hAnsi="Arial" w:cs="Arial"/>
              </w:rPr>
              <w:t>efer to November Cabinet Report</w:t>
            </w:r>
          </w:p>
        </w:tc>
      </w:tr>
      <w:tr w:rsidR="00B87695" w:rsidTr="00AE4A02">
        <w:tc>
          <w:tcPr>
            <w:tcW w:w="3574" w:type="dxa"/>
          </w:tcPr>
          <w:p w:rsidR="00B87695" w:rsidRPr="00B87695" w:rsidRDefault="00B87695" w:rsidP="00AE4A02">
            <w:pPr>
              <w:spacing w:before="120" w:after="120"/>
              <w:rPr>
                <w:rFonts w:ascii="Arial" w:hAnsi="Arial" w:cs="Arial"/>
              </w:rPr>
            </w:pPr>
            <w:r w:rsidRPr="00B87695">
              <w:rPr>
                <w:rFonts w:ascii="Arial" w:hAnsi="Arial" w:cs="Arial"/>
                <w:b/>
              </w:rPr>
              <w:t xml:space="preserve">Decision made by: </w:t>
            </w:r>
          </w:p>
        </w:tc>
        <w:tc>
          <w:tcPr>
            <w:tcW w:w="6350" w:type="dxa"/>
          </w:tcPr>
          <w:p w:rsidR="00B87695" w:rsidRPr="00A96C08" w:rsidRDefault="00AE4A02" w:rsidP="008A22C6">
            <w:pPr>
              <w:rPr>
                <w:rFonts w:ascii="Arial" w:hAnsi="Arial" w:cs="Arial"/>
              </w:rPr>
            </w:pPr>
            <w:r>
              <w:rPr>
                <w:rFonts w:ascii="Arial" w:hAnsi="Arial" w:cs="Arial"/>
              </w:rPr>
              <w:t>Bill Lewis, Financial Accounting Manager,</w:t>
            </w:r>
            <w:r w:rsidR="00BD74D6">
              <w:rPr>
                <w:rFonts w:ascii="Arial" w:hAnsi="Arial" w:cs="Arial"/>
              </w:rPr>
              <w:t xml:space="preserve"> in consultation with Susan Sale, Head of Law and Governance and Councillor Ed Turner Cabinet Member for Finance and Asset Management</w:t>
            </w:r>
            <w:r>
              <w:rPr>
                <w:rFonts w:ascii="Arial" w:hAnsi="Arial" w:cs="Arial"/>
              </w:rPr>
              <w:t>.</w:t>
            </w:r>
            <w:r w:rsidR="00BD74D6">
              <w:rPr>
                <w:rFonts w:ascii="Arial" w:hAnsi="Arial" w:cs="Arial"/>
              </w:rPr>
              <w:t xml:space="preserve"> </w:t>
            </w:r>
            <w:r w:rsidR="00885196">
              <w:rPr>
                <w:rFonts w:ascii="Arial" w:hAnsi="Arial" w:cs="Arial"/>
              </w:rPr>
              <w:t xml:space="preserve"> </w:t>
            </w:r>
          </w:p>
        </w:tc>
      </w:tr>
      <w:tr w:rsidR="006F6326" w:rsidTr="00AE4A02">
        <w:tc>
          <w:tcPr>
            <w:tcW w:w="3574" w:type="dxa"/>
          </w:tcPr>
          <w:p w:rsidR="006F6326" w:rsidRDefault="006F6326" w:rsidP="00AE4A0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350" w:type="dxa"/>
          </w:tcPr>
          <w:p w:rsidR="00263039" w:rsidRPr="00A96C08" w:rsidRDefault="00BD74D6" w:rsidP="00DD1A34">
            <w:pPr>
              <w:rPr>
                <w:rFonts w:ascii="Arial" w:hAnsi="Arial" w:cs="Arial"/>
              </w:rPr>
            </w:pPr>
            <w:r>
              <w:rPr>
                <w:rFonts w:ascii="Arial" w:hAnsi="Arial" w:cs="Arial"/>
              </w:rPr>
              <w:t>Please refer to November Cabinet Report.</w:t>
            </w:r>
          </w:p>
        </w:tc>
      </w:tr>
      <w:tr w:rsidR="006F6326" w:rsidTr="00AE4A02">
        <w:trPr>
          <w:trHeight w:val="812"/>
        </w:trPr>
        <w:tc>
          <w:tcPr>
            <w:tcW w:w="3574" w:type="dxa"/>
          </w:tcPr>
          <w:p w:rsidR="00C678ED" w:rsidRPr="00C678ED" w:rsidRDefault="006F6326" w:rsidP="00AE4A02">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350" w:type="dxa"/>
          </w:tcPr>
          <w:p w:rsidR="006F6326" w:rsidRPr="00A96C08" w:rsidRDefault="00C404E9" w:rsidP="008A22C6">
            <w:pPr>
              <w:rPr>
                <w:rFonts w:ascii="Arial" w:hAnsi="Arial" w:cs="Arial"/>
              </w:rPr>
            </w:pPr>
            <w:r>
              <w:rPr>
                <w:rFonts w:ascii="Arial" w:hAnsi="Arial" w:cs="Arial"/>
              </w:rPr>
              <w:t>Report to Cabinet on 10 November 2021</w:t>
            </w:r>
            <w:r w:rsidR="00BD74D6">
              <w:rPr>
                <w:rFonts w:ascii="Arial" w:hAnsi="Arial" w:cs="Arial"/>
              </w:rPr>
              <w:t xml:space="preserve"> and Exempt </w:t>
            </w:r>
            <w:r w:rsidR="00AE4A02">
              <w:rPr>
                <w:rFonts w:ascii="Arial" w:hAnsi="Arial" w:cs="Arial"/>
              </w:rPr>
              <w:t>Appendix 1 – Not for Publication</w:t>
            </w:r>
          </w:p>
        </w:tc>
      </w:tr>
      <w:tr w:rsidR="006F6326" w:rsidTr="00AE4A02">
        <w:tc>
          <w:tcPr>
            <w:tcW w:w="3574" w:type="dxa"/>
          </w:tcPr>
          <w:p w:rsidR="003505E0" w:rsidRDefault="003505E0" w:rsidP="00AE4A02">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350" w:type="dxa"/>
          </w:tcPr>
          <w:p w:rsidR="006F6326" w:rsidRPr="00A96C08" w:rsidRDefault="00885196" w:rsidP="008A22C6">
            <w:pPr>
              <w:rPr>
                <w:rFonts w:ascii="Arial" w:hAnsi="Arial" w:cs="Arial"/>
              </w:rPr>
            </w:pPr>
            <w:r>
              <w:rPr>
                <w:rFonts w:ascii="Arial" w:hAnsi="Arial" w:cs="Arial"/>
              </w:rPr>
              <w:t xml:space="preserve"> Key</w:t>
            </w:r>
          </w:p>
        </w:tc>
      </w:tr>
      <w:tr w:rsidR="006F6326" w:rsidTr="00AE4A02">
        <w:tc>
          <w:tcPr>
            <w:tcW w:w="3574" w:type="dxa"/>
          </w:tcPr>
          <w:p w:rsidR="006F6326" w:rsidRPr="008E4629" w:rsidRDefault="006F6326" w:rsidP="00AE4A0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350" w:type="dxa"/>
          </w:tcPr>
          <w:p w:rsidR="006F6326" w:rsidRPr="00A96C08" w:rsidRDefault="00C404E9" w:rsidP="008A22C6">
            <w:pPr>
              <w:rPr>
                <w:rFonts w:ascii="Arial" w:hAnsi="Arial" w:cs="Arial"/>
              </w:rPr>
            </w:pPr>
            <w:r>
              <w:rPr>
                <w:rFonts w:ascii="Arial" w:hAnsi="Arial" w:cs="Arial"/>
              </w:rPr>
              <w:t>None</w:t>
            </w:r>
          </w:p>
        </w:tc>
      </w:tr>
      <w:tr w:rsidR="006F6326" w:rsidTr="00AE4A02">
        <w:tc>
          <w:tcPr>
            <w:tcW w:w="3574" w:type="dxa"/>
          </w:tcPr>
          <w:p w:rsidR="006F6326" w:rsidRPr="006F6326" w:rsidRDefault="006F6326" w:rsidP="00AE4A0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350" w:type="dxa"/>
          </w:tcPr>
          <w:p w:rsidR="006F6326" w:rsidRPr="00A96C08" w:rsidRDefault="00C404E9" w:rsidP="008A22C6">
            <w:pPr>
              <w:rPr>
                <w:rFonts w:ascii="Arial" w:hAnsi="Arial" w:cs="Arial"/>
              </w:rPr>
            </w:pPr>
            <w:r>
              <w:rPr>
                <w:rFonts w:ascii="Arial" w:hAnsi="Arial" w:cs="Arial"/>
              </w:rPr>
              <w:t>None</w:t>
            </w:r>
          </w:p>
        </w:tc>
      </w:tr>
      <w:tr w:rsidR="00B87695" w:rsidTr="00AE4A02">
        <w:tc>
          <w:tcPr>
            <w:tcW w:w="3574"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350" w:type="dxa"/>
          </w:tcPr>
          <w:p w:rsidR="004A049B" w:rsidRDefault="008972D0" w:rsidP="008A22C6">
            <w:pPr>
              <w:rPr>
                <w:rFonts w:ascii="Arial" w:hAnsi="Arial" w:cs="Arial"/>
              </w:rPr>
            </w:pPr>
            <w:r>
              <w:rPr>
                <w:rFonts w:ascii="Arial" w:hAnsi="Arial" w:cs="Arial"/>
              </w:rPr>
              <w:t>Emma Gubbins</w:t>
            </w:r>
          </w:p>
          <w:p w:rsidR="008972D0" w:rsidRDefault="008972D0" w:rsidP="008A22C6">
            <w:pPr>
              <w:rPr>
                <w:rFonts w:ascii="Arial" w:hAnsi="Arial" w:cs="Arial"/>
              </w:rPr>
            </w:pPr>
            <w:r>
              <w:rPr>
                <w:rFonts w:ascii="Arial" w:hAnsi="Arial" w:cs="Arial"/>
              </w:rPr>
              <w:t>Corporate Asset Lead</w:t>
            </w:r>
          </w:p>
          <w:p w:rsidR="008972D0" w:rsidRPr="00A96C08" w:rsidRDefault="008972D0" w:rsidP="008A22C6">
            <w:pPr>
              <w:rPr>
                <w:rFonts w:ascii="Arial" w:hAnsi="Arial" w:cs="Arial"/>
              </w:rPr>
            </w:pPr>
            <w:r>
              <w:rPr>
                <w:rFonts w:ascii="Arial" w:hAnsi="Arial" w:cs="Arial"/>
              </w:rPr>
              <w:t>0</w:t>
            </w:r>
            <w:r w:rsidR="00BD74D6">
              <w:rPr>
                <w:rFonts w:ascii="Arial" w:hAnsi="Arial" w:cs="Arial"/>
              </w:rPr>
              <w:t>9</w:t>
            </w:r>
            <w:r>
              <w:rPr>
                <w:rFonts w:ascii="Arial" w:hAnsi="Arial" w:cs="Arial"/>
              </w:rPr>
              <w:t>.12.21</w:t>
            </w:r>
          </w:p>
        </w:tc>
      </w:tr>
    </w:tbl>
    <w:p w:rsidR="006F6326" w:rsidRDefault="006F6326" w:rsidP="008A22C6"/>
    <w:p w:rsidR="002611EB" w:rsidRDefault="002611EB" w:rsidP="008A22C6"/>
    <w:p w:rsidR="00AE4A02" w:rsidRDefault="00AE4A02" w:rsidP="008A22C6"/>
    <w:p w:rsidR="00AE4A02" w:rsidRDefault="00AE4A02" w:rsidP="008A22C6"/>
    <w:p w:rsidR="00AE4A02" w:rsidRDefault="00AE4A02" w:rsidP="008A22C6"/>
    <w:p w:rsidR="00AE4A02" w:rsidRDefault="00AE4A02" w:rsidP="008A22C6">
      <w:bookmarkStart w:id="0" w:name="_GoBack"/>
      <w:bookmarkEnd w:id="0"/>
    </w:p>
    <w:p w:rsidR="008E4629" w:rsidRDefault="00DD4885" w:rsidP="002611EB">
      <w:pPr>
        <w:rPr>
          <w:rFonts w:ascii="Arial" w:hAnsi="Arial" w:cs="Arial"/>
          <w:b/>
        </w:rPr>
      </w:pPr>
      <w:r>
        <w:rPr>
          <w:rFonts w:ascii="Arial" w:hAnsi="Arial" w:cs="Arial"/>
          <w:b/>
        </w:rPr>
        <w:lastRenderedPageBreak/>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545"/>
        <w:gridCol w:w="4394"/>
        <w:gridCol w:w="1984"/>
      </w:tblGrid>
      <w:tr w:rsidR="00DD4885" w:rsidRPr="00A96C08" w:rsidTr="00AE4A02">
        <w:trPr>
          <w:trHeight w:val="516"/>
        </w:trPr>
        <w:tc>
          <w:tcPr>
            <w:tcW w:w="3545"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394"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AE4A02">
        <w:trPr>
          <w:trHeight w:val="516"/>
        </w:trPr>
        <w:tc>
          <w:tcPr>
            <w:tcW w:w="3545" w:type="dxa"/>
            <w:vAlign w:val="center"/>
          </w:tcPr>
          <w:p w:rsidR="00DD4885" w:rsidRPr="00BF240D" w:rsidRDefault="00C404E9" w:rsidP="00BF240D">
            <w:pPr>
              <w:spacing w:before="120" w:after="120"/>
              <w:rPr>
                <w:rFonts w:ascii="Arial" w:hAnsi="Arial" w:cs="Arial"/>
              </w:rPr>
            </w:pPr>
            <w:r>
              <w:rPr>
                <w:rFonts w:ascii="Arial" w:hAnsi="Arial" w:cs="Arial"/>
                <w:b/>
              </w:rPr>
              <w:t>Decision maker</w:t>
            </w:r>
          </w:p>
        </w:tc>
        <w:tc>
          <w:tcPr>
            <w:tcW w:w="4394" w:type="dxa"/>
            <w:vAlign w:val="center"/>
          </w:tcPr>
          <w:p w:rsidR="00AE4A02" w:rsidRDefault="00AE4A02" w:rsidP="00DD4885">
            <w:pPr>
              <w:rPr>
                <w:rFonts w:ascii="Arial" w:hAnsi="Arial" w:cs="Arial"/>
              </w:rPr>
            </w:pPr>
            <w:r>
              <w:rPr>
                <w:rFonts w:ascii="Arial" w:hAnsi="Arial" w:cs="Arial"/>
              </w:rPr>
              <w:t>Bill Lewis, Financial Accounting Manager</w:t>
            </w:r>
          </w:p>
          <w:p w:rsidR="00AE4A02" w:rsidRDefault="00AE4A02" w:rsidP="00DD4885">
            <w:pPr>
              <w:rPr>
                <w:rFonts w:ascii="Arial" w:hAnsi="Arial" w:cs="Arial"/>
              </w:rPr>
            </w:pPr>
          </w:p>
          <w:p w:rsidR="00DD4885" w:rsidRPr="00A96C08" w:rsidRDefault="00AE4A02" w:rsidP="00AE4A02">
            <w:pPr>
              <w:rPr>
                <w:rFonts w:ascii="Arial" w:hAnsi="Arial" w:cs="Arial"/>
              </w:rPr>
            </w:pPr>
            <w:r>
              <w:rPr>
                <w:rFonts w:ascii="Arial" w:hAnsi="Arial" w:cs="Arial"/>
              </w:rPr>
              <w:t xml:space="preserve">As authorised by </w:t>
            </w:r>
            <w:r w:rsidR="00C404E9">
              <w:rPr>
                <w:rFonts w:ascii="Arial" w:hAnsi="Arial" w:cs="Arial"/>
              </w:rPr>
              <w:t>Nigel Kennedy, Head of Financial Services</w:t>
            </w:r>
          </w:p>
        </w:tc>
        <w:tc>
          <w:tcPr>
            <w:tcW w:w="1984" w:type="dxa"/>
            <w:vAlign w:val="center"/>
          </w:tcPr>
          <w:p w:rsidR="00DD4885" w:rsidRPr="00A96C08" w:rsidRDefault="00AE4A02" w:rsidP="00DD4885">
            <w:pPr>
              <w:rPr>
                <w:rFonts w:ascii="Arial" w:hAnsi="Arial" w:cs="Arial"/>
              </w:rPr>
            </w:pPr>
            <w:r>
              <w:rPr>
                <w:rFonts w:ascii="Arial" w:hAnsi="Arial" w:cs="Arial"/>
              </w:rPr>
              <w:t>10 December 2021</w:t>
            </w:r>
          </w:p>
        </w:tc>
      </w:tr>
      <w:tr w:rsidR="00DD4885" w:rsidRPr="00A96C08" w:rsidTr="00AE4A02">
        <w:trPr>
          <w:trHeight w:val="834"/>
        </w:trPr>
        <w:tc>
          <w:tcPr>
            <w:tcW w:w="3545" w:type="dxa"/>
            <w:vAlign w:val="center"/>
          </w:tcPr>
          <w:p w:rsidR="00DD4885" w:rsidRPr="00405321" w:rsidRDefault="00DD4885" w:rsidP="00AE4A02">
            <w:pPr>
              <w:spacing w:before="120" w:after="120"/>
              <w:rPr>
                <w:rFonts w:ascii="Arial" w:hAnsi="Arial" w:cs="Arial"/>
                <w:b/>
              </w:rPr>
            </w:pPr>
            <w:r w:rsidRPr="00405321">
              <w:rPr>
                <w:rFonts w:ascii="Arial" w:hAnsi="Arial" w:cs="Arial"/>
                <w:b/>
              </w:rPr>
              <w:t>Head of Law and Governance</w:t>
            </w:r>
            <w:r w:rsidR="00BF240D" w:rsidRPr="00BF240D">
              <w:rPr>
                <w:rFonts w:ascii="Arial" w:hAnsi="Arial" w:cs="Arial"/>
              </w:rPr>
              <w:t xml:space="preserve"> </w:t>
            </w:r>
          </w:p>
        </w:tc>
        <w:tc>
          <w:tcPr>
            <w:tcW w:w="4394" w:type="dxa"/>
            <w:vAlign w:val="center"/>
          </w:tcPr>
          <w:p w:rsidR="00DD4885" w:rsidRPr="00A96C08" w:rsidRDefault="00BD74D6" w:rsidP="00DD4885">
            <w:pPr>
              <w:rPr>
                <w:rFonts w:ascii="Arial" w:hAnsi="Arial" w:cs="Arial"/>
              </w:rPr>
            </w:pPr>
            <w:r>
              <w:rPr>
                <w:rFonts w:ascii="Arial" w:hAnsi="Arial" w:cs="Arial"/>
              </w:rPr>
              <w:t>Susan Sale, Head of Law and Governance</w:t>
            </w:r>
          </w:p>
        </w:tc>
        <w:tc>
          <w:tcPr>
            <w:tcW w:w="1984" w:type="dxa"/>
            <w:vAlign w:val="center"/>
          </w:tcPr>
          <w:p w:rsidR="00DD4885" w:rsidRPr="00A96C08" w:rsidRDefault="00AE4A02" w:rsidP="00DD4885">
            <w:pPr>
              <w:rPr>
                <w:rFonts w:ascii="Arial" w:hAnsi="Arial" w:cs="Arial"/>
              </w:rPr>
            </w:pPr>
            <w:r>
              <w:rPr>
                <w:rFonts w:ascii="Arial" w:hAnsi="Arial" w:cs="Arial"/>
              </w:rPr>
              <w:t>10 December 2021</w:t>
            </w:r>
          </w:p>
        </w:tc>
      </w:tr>
      <w:tr w:rsidR="00DD4885" w:rsidRPr="00A96C08" w:rsidTr="00AE4A02">
        <w:trPr>
          <w:trHeight w:val="562"/>
        </w:trPr>
        <w:tc>
          <w:tcPr>
            <w:tcW w:w="3545" w:type="dxa"/>
            <w:vAlign w:val="center"/>
          </w:tcPr>
          <w:p w:rsidR="00DD4885" w:rsidRPr="00405321" w:rsidRDefault="00DD4885" w:rsidP="00AE4A02">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p>
        </w:tc>
        <w:tc>
          <w:tcPr>
            <w:tcW w:w="4394" w:type="dxa"/>
            <w:vAlign w:val="center"/>
          </w:tcPr>
          <w:p w:rsidR="00DD4885" w:rsidRPr="00A96C08" w:rsidRDefault="00BD74D6" w:rsidP="00AE4A02">
            <w:pPr>
              <w:rPr>
                <w:rFonts w:ascii="Arial" w:hAnsi="Arial" w:cs="Arial"/>
              </w:rPr>
            </w:pPr>
            <w:r>
              <w:rPr>
                <w:rFonts w:ascii="Arial" w:hAnsi="Arial" w:cs="Arial"/>
              </w:rPr>
              <w:t>C</w:t>
            </w:r>
            <w:r w:rsidR="00AE4A02">
              <w:rPr>
                <w:rFonts w:ascii="Arial" w:hAnsi="Arial" w:cs="Arial"/>
              </w:rPr>
              <w:t>ouncillor</w:t>
            </w:r>
            <w:r>
              <w:rPr>
                <w:rFonts w:ascii="Arial" w:hAnsi="Arial" w:cs="Arial"/>
              </w:rPr>
              <w:t xml:space="preserve"> Ed Turner, Cabinet Member for Finance and Asset Management </w:t>
            </w:r>
          </w:p>
        </w:tc>
        <w:tc>
          <w:tcPr>
            <w:tcW w:w="1984" w:type="dxa"/>
            <w:vAlign w:val="center"/>
          </w:tcPr>
          <w:p w:rsidR="00DD4885" w:rsidRPr="00A96C08" w:rsidRDefault="00AE4A02" w:rsidP="00DD4885">
            <w:pPr>
              <w:rPr>
                <w:rFonts w:ascii="Arial" w:hAnsi="Arial" w:cs="Arial"/>
              </w:rPr>
            </w:pPr>
            <w:r>
              <w:rPr>
                <w:rFonts w:ascii="Arial" w:hAnsi="Arial" w:cs="Arial"/>
              </w:rPr>
              <w:t>10 December 2021</w:t>
            </w:r>
          </w:p>
        </w:tc>
      </w:tr>
    </w:tbl>
    <w:p w:rsidR="00424A92" w:rsidRPr="00532DF2" w:rsidRDefault="00424A92" w:rsidP="00231385">
      <w:pPr>
        <w:ind w:left="-426"/>
        <w:rPr>
          <w:rFonts w:ascii="Arial" w:hAnsi="Arial" w:cs="Arial"/>
        </w:rPr>
      </w:pPr>
    </w:p>
    <w:sectPr w:rsidR="00424A92" w:rsidRPr="00532DF2"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03" w:rsidRDefault="00484103" w:rsidP="00F11FD1">
      <w:r>
        <w:separator/>
      </w:r>
    </w:p>
  </w:endnote>
  <w:endnote w:type="continuationSeparator" w:id="0">
    <w:p w:rsidR="00484103" w:rsidRDefault="0048410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03" w:rsidRDefault="00484103" w:rsidP="00F11FD1">
      <w:r>
        <w:separator/>
      </w:r>
    </w:p>
  </w:footnote>
  <w:footnote w:type="continuationSeparator" w:id="0">
    <w:p w:rsidR="00484103" w:rsidRDefault="0048410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0F4FFB"/>
    <w:rsid w:val="001611CC"/>
    <w:rsid w:val="001B1155"/>
    <w:rsid w:val="00231385"/>
    <w:rsid w:val="002611EB"/>
    <w:rsid w:val="00263039"/>
    <w:rsid w:val="00282F28"/>
    <w:rsid w:val="002A07C9"/>
    <w:rsid w:val="002B53D4"/>
    <w:rsid w:val="002E61DD"/>
    <w:rsid w:val="00335A9B"/>
    <w:rsid w:val="003505E0"/>
    <w:rsid w:val="003547CD"/>
    <w:rsid w:val="00373F5D"/>
    <w:rsid w:val="003B1236"/>
    <w:rsid w:val="004000D7"/>
    <w:rsid w:val="00405321"/>
    <w:rsid w:val="00424A92"/>
    <w:rsid w:val="00484103"/>
    <w:rsid w:val="004A049B"/>
    <w:rsid w:val="004B1944"/>
    <w:rsid w:val="00504E43"/>
    <w:rsid w:val="00532DF2"/>
    <w:rsid w:val="005C6416"/>
    <w:rsid w:val="005E37E4"/>
    <w:rsid w:val="00616F3F"/>
    <w:rsid w:val="006247C4"/>
    <w:rsid w:val="00630F5A"/>
    <w:rsid w:val="006F6326"/>
    <w:rsid w:val="006F6731"/>
    <w:rsid w:val="007908F4"/>
    <w:rsid w:val="007D270E"/>
    <w:rsid w:val="00801BEB"/>
    <w:rsid w:val="00804BF2"/>
    <w:rsid w:val="00834D72"/>
    <w:rsid w:val="00844D21"/>
    <w:rsid w:val="00854133"/>
    <w:rsid w:val="008613FB"/>
    <w:rsid w:val="008676E5"/>
    <w:rsid w:val="00885196"/>
    <w:rsid w:val="008900A7"/>
    <w:rsid w:val="00891B19"/>
    <w:rsid w:val="008972D0"/>
    <w:rsid w:val="008A22C6"/>
    <w:rsid w:val="008C7AA9"/>
    <w:rsid w:val="008E4629"/>
    <w:rsid w:val="00986C99"/>
    <w:rsid w:val="009C5D15"/>
    <w:rsid w:val="009F048F"/>
    <w:rsid w:val="009F6401"/>
    <w:rsid w:val="00A12928"/>
    <w:rsid w:val="00A96C08"/>
    <w:rsid w:val="00AC5899"/>
    <w:rsid w:val="00AE4A02"/>
    <w:rsid w:val="00B15340"/>
    <w:rsid w:val="00B87695"/>
    <w:rsid w:val="00B928EF"/>
    <w:rsid w:val="00BD4490"/>
    <w:rsid w:val="00BD74D6"/>
    <w:rsid w:val="00BE1FD4"/>
    <w:rsid w:val="00BF240D"/>
    <w:rsid w:val="00C07F80"/>
    <w:rsid w:val="00C251F7"/>
    <w:rsid w:val="00C404E9"/>
    <w:rsid w:val="00C6130E"/>
    <w:rsid w:val="00C678ED"/>
    <w:rsid w:val="00CB5E4F"/>
    <w:rsid w:val="00CD4BC9"/>
    <w:rsid w:val="00CE6085"/>
    <w:rsid w:val="00D33F83"/>
    <w:rsid w:val="00D543D9"/>
    <w:rsid w:val="00D6440D"/>
    <w:rsid w:val="00DB01D4"/>
    <w:rsid w:val="00DC2E8D"/>
    <w:rsid w:val="00DD1A34"/>
    <w:rsid w:val="00DD4885"/>
    <w:rsid w:val="00DD51B2"/>
    <w:rsid w:val="00E127E3"/>
    <w:rsid w:val="00E20A54"/>
    <w:rsid w:val="00E270E5"/>
    <w:rsid w:val="00E97F84"/>
    <w:rsid w:val="00F11FD1"/>
    <w:rsid w:val="00F64579"/>
    <w:rsid w:val="00F8561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9949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8CFA-5A71-44D9-A453-A963CBCB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3</cp:revision>
  <cp:lastPrinted>2015-07-27T09:35:00Z</cp:lastPrinted>
  <dcterms:created xsi:type="dcterms:W3CDTF">2021-12-09T08:59:00Z</dcterms:created>
  <dcterms:modified xsi:type="dcterms:W3CDTF">2021-12-10T15:06:00Z</dcterms:modified>
</cp:coreProperties>
</file>